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</w:rPr>
        <w:drawing>
          <wp:inline distB="114300" distT="114300" distL="114300" distR="114300">
            <wp:extent cx="5943600" cy="1028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На основу члана 38. став 1. алинеја два Статута Завода за културу војвођанских Русина и Одлуке о финансијском плану Завода за културу војвођанских Русина број 57-4/18 од 14.02.2018. године Управни одбор Завода за културу војвођанских Русина, на</w:t>
      </w:r>
      <w:r w:rsidDel="00000000" w:rsidR="00000000" w:rsidRPr="00000000">
        <w:rPr>
          <w:rFonts w:ascii="PT Sans" w:cs="PT Sans" w:eastAsia="PT Sans" w:hAnsi="PT Sans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9. седници одржаној 11.05.2018. године расписује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 суфинансирање програма и пројеката очувања, неговања, презентације и развоја културе и уметности русинске заједнице у Републици Србији</w:t>
      </w:r>
    </w:p>
    <w:p w:rsidR="00000000" w:rsidDel="00000000" w:rsidP="00000000" w:rsidRDefault="00000000" w:rsidRPr="00000000" w14:paraId="00000006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Конкурс се односи на програме/пројекте из следећих области: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програме очувања и неговања нематеријалног културног наслеђа русинске заједнице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програме савременог уметничког стваралаштва русинске заједнице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чија је реализација предвиђена у 2018. години.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Укупан износ средстава планиран за ове намене, у складу са Одлуком о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финансијском плану Завода за културу војвођанских Русина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за 2018. годину износи 1.450.000,00 динара. Од укупног износа средстава по Одлуци УО број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107-1/18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од 14.05.2018. године 1.000.000,00 динара се опредељује за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Програме очувања и неговања нематеријалног културног наслеђа русинске заједнице, а 450.000,00 за Програме савременог уметничког стваралаштва русинске заједнице.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Приоритети суфинансирања пројеката по областима: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 ПРОГРАМЕ ОЧУВАЊА И НЕГОВАЊА НЕМАТЕРИЈАЛНОГ КУЛТУРНОГ НАСЛЕЂА РУСИНСКЕ ЗАЈЕДНИЦЕ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програми и активности музичко и музичко-сценског наступа и плесa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(снимање ауторског материјала, радионице, припреме за учешће на манифестацијама, концертима, изложбама, фестивалима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међурегионална сарадња и гостовања у иностранству у оквиру овог проґрама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истраживања, сакупљања, обраде, очувања и презентације културне баштине русинске заједнице који се реализују у сарадњи са стручним удружењима и институцијама</w:t>
      </w:r>
    </w:p>
    <w:p w:rsidR="00000000" w:rsidDel="00000000" w:rsidP="00000000" w:rsidRDefault="00000000" w:rsidRPr="00000000" w14:paraId="00000012">
      <w:pPr>
        <w:spacing w:line="240" w:lineRule="auto"/>
        <w:ind w:left="720" w:hanging="360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 ПРОГРАМЕ САВРЕМЕНОГ УМЕТНИЧКОГ СТВАРАЛАШТВА РУСИНСКЕ ЗАЈЕДНИЦЕ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разни програми и активности у култури у оквиру позоришног стваралаштва и интерпретације (позоришне представе, радионице, учешће на фестивалима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музичко и музичко-сценско стваралаштво и плес (снимање ауторског материјала, радионице, учешће на фестивалима)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ликовно и примењено стваралаштво (радионице, учешће на фестивалима, колонијама)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видео, мултимедијално и дигитално стваралаштво (снимање ауторског материјала, изложбе, радионице)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међурегионална сарадња и гостовања у иностранству у оквиру алинеја 1-4 овиг програма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истраживања, сакупљања, обраде, очувања и презентације савременоґ уметничког стваралаштва русинске заједнице који се реализују у сарадњи са стручним удружењима и институцијама</w:t>
      </w:r>
    </w:p>
    <w:p w:rsidR="00000000" w:rsidDel="00000000" w:rsidP="00000000" w:rsidRDefault="00000000" w:rsidRPr="00000000" w14:paraId="0000001B">
      <w:pPr>
        <w:contextualSpacing w:val="0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Конкурс за све наведене области отворен je од 14. маја до 01. јуна 2018. године.</w:t>
      </w:r>
    </w:p>
    <w:p w:rsidR="00000000" w:rsidDel="00000000" w:rsidP="00000000" w:rsidRDefault="00000000" w:rsidRPr="00000000" w14:paraId="0000001D">
      <w:pPr>
        <w:contextualSpacing w:val="0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ОПШТИ УСЛОВИ КОНКУРСА:</w:t>
      </w:r>
    </w:p>
    <w:p w:rsidR="00000000" w:rsidDel="00000000" w:rsidP="00000000" w:rsidRDefault="00000000" w:rsidRPr="00000000" w14:paraId="0000001F">
      <w:pPr>
        <w:contextualSpacing w:val="0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Право учешћа на овом конкурсу имају: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удружења у култури, установе културе, друга правна лица и остали субјекти у култури са седиштем на територији АП Војводине, чије је основна или претежна област делатности култура;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чија је пријава поднета у року који је утврђен Конкурсом;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који су поднели комплетну конкурсну документацију.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О избору пројеката по расписаном Конкурсу одлучује стручна комисија за избор пројеката које образује Завод за културу војвођанских Русина. 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Финансирање пројеката вршиће се у складу са расположивим буџетским средствима. Након што Комисија за обе области одлучи о избору пројеката за суфинансирање, Одлуку потврђује Управни одбор Завода за културу војвођанских Русина. Након коначности одлуке, Завод закључује уговоре о суфинансирању реализације пројеката са подносиоцима пријава изабраних пројеката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КРИТЕРИЈУМИ ЗА  ОЦЕНУ ПРОЈЕКАТА: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Критеријуми на основу којих ће се оцењивати пројекти пријављени на Конкурс утврђени су чланом 9. и чланом 10.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Правилника о начину, критеријумима и мерилима за суфинансирање програма и пројеката очувања, неговања, презентације и развоја културе и уметности русинске заједнице у Републици Србији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(видети на </w:t>
      </w:r>
      <w:hyperlink r:id="rId8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ДОКУМЕНТАЦИЈА</w:t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На званичној интернет страни Завода за културу војвођанских Русина </w:t>
      </w:r>
      <w:hyperlink r:id="rId9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могу се преузети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Пријавни образац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неопходан за учешће на конкурсу, као 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Образац  за наративни извештај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о реализацији пројекта 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Образац за финансијски извештај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који се подносе након завршетка пројекта/програма.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Уз пријаву такође је потребно доставити: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Фотокопију Решења о регистрацији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подносиоца пријаве код надлежног органа;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Фотокопију Потврде о пореском идентификационом броју (ПИБ)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званичан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доказ о рачуну у банци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(фотокопија уговора о отварању рачуна, извод оверен од стране апликанта или фотокопију картона депонованих потписа овлашћених лица за рачун у банци);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Биографију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координатора/ке пројекта;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Биографије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стручних сарадника/ца.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ПРИЈАВЉИВАЊЕ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Пријаве на Конкурс се подносе искључиво на образцу који се може наћи на интернет страници Завода за културу војводђанских Русина </w:t>
      </w:r>
      <w:hyperlink r:id="rId10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или добити у просторијама Завода, Футошка 2/3, Нови Сад.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Пријаве се у једном примерку подносе лично или се шаљу поштом на адресу: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Завод за културу војводђанских Русина </w:t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Футошка 2/3 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Нови Сад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На коверти мора јасно да буде назначено: </w:t>
      </w: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Конкурс </w:t>
      </w: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rtl w:val="0"/>
        </w:rPr>
        <w:t xml:space="preserve">за суфинансирање програма и пројеката очувања, неговања, презентације и развоја културе и уметности русинске заједнице у Републици Србији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Пријаве се достављају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од 14. маја до 01. јуна 2018.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РЕЗУЛТАТИ КОНКУРСА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Резултати овог конкурса ће бити обjављени на званичној интернет страни Завода за културу војвођанских Русина, најкасније 15 дана од дана завршетка подношења пријава.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ВАЖНE НАПОМЕНE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Везано за наменско коришћење додељених буџетских средстава, посебно наглашавамо да трошкови пројекта МОРАЈУ бити: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35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неопходни за спровођење активности и да су усаглашени са принципима законитости и економичног финансијског управљања што се нарочито односи на вредност уложеног новца и делотворност трошкова (добијања правих вредности за уложени новац);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35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стварни трошкови подносиоца пријаве или његових партнера током периода реализације пројекта;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35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евидентирани током реализације пројекта, у обрачунима или пореским документима подносиоца пријаве или његових партнера, те да су препознатљиви и проверљиви, и подржани оригиналном документацијом на основу чијих копија се правдају Заводу за културу војвођанских Русина.</w:t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У оквиру овог конкурса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неприхватљиви трошкови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Подносиоца пријаве су: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дугови и покривање губитака или дуговања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репрезентације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коришћења службеног телефона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пристигле пасивне камате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ставке које се већ финансирају из других пројеката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куповина земљишта или некретнина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закупа пословног простора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електричне енергије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грејања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осигурања пословног простора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одржавања веб сајта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банкарских провизија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Следећа врста трошкова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прихватљива је искључиво уколико су неопходни за реализацију пројекта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, што се мора одразити кроз планиране активности: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мањи инвестициони трошкови (кречење, сређивање пословног простора)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мањих поправка-монтажа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канцеларијског материјала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набавке опреме (музички инструменти, ношња, у изузетним случајевима рачунар, штампач)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коришћења интернета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ангажовања књиговодствених агенција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Неблаговремене и недопуштене пријаве  биће одбачене.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Конкурсни материjал се не враћа.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Додатне информациjе се могу добити у Заводу за културу војвођанских Русина сваког радног дана од 14.00 до 16.00 часова на 021/548-421, као и на мејл: zavod.rusini@gmail.com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E">
      <w:pPr>
        <w:spacing w:line="24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Обухвата хорско и июворно певање, фолклор, народне и тамбурашке оркестре. </w:t>
      </w:r>
    </w:p>
  </w:footnote>
  <w:footnote w:id="1">
    <w:p w:rsidR="00000000" w:rsidDel="00000000" w:rsidP="00000000" w:rsidRDefault="00000000" w:rsidRPr="00000000" w14:paraId="0000005F">
      <w:pPr>
        <w:spacing w:line="24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Учешће на фестивалима: Хорски фестивал “Карпати” у Врбасу, Фестивал фолклора “Куцурска жетва” у Куцури, Фестивал тамбурашких и народних оркестара “Мелодије руског двора” у Шиду, Фестивал изворног певања “Нек се не заборави” у Ђурђеву</w:t>
      </w:r>
    </w:p>
  </w:footnote>
  <w:footnote w:id="2">
    <w:p w:rsidR="00000000" w:rsidDel="00000000" w:rsidP="00000000" w:rsidRDefault="00000000" w:rsidRPr="00000000" w14:paraId="00000060">
      <w:pPr>
        <w:spacing w:line="24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Учешће на Драмском меморијалу “Петро Ризнич Ђађа”, Фестивалу малих сценских форми “Ђура Папгаргаји”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://www.zavod.rs" TargetMode="External"/><Relationship Id="rId9" Type="http://schemas.openxmlformats.org/officeDocument/2006/relationships/hyperlink" Target="http://www.zavod.r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yperlink" Target="http://www.zavod.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